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94D96" w14:textId="6216EB01" w:rsidR="00987CD9" w:rsidRPr="00581727" w:rsidRDefault="00987CD9" w:rsidP="00A079EE">
      <w:pPr>
        <w:spacing w:after="0" w:line="240" w:lineRule="auto"/>
        <w:jc w:val="center"/>
        <w:rPr>
          <w:rFonts w:asciiTheme="majorHAnsi" w:hAnsiTheme="majorHAnsi" w:cs="Times New Roman"/>
          <w:b/>
          <w:bCs/>
          <w:sz w:val="32"/>
        </w:rPr>
      </w:pPr>
      <w:r w:rsidRPr="00581727">
        <w:rPr>
          <w:rFonts w:asciiTheme="majorHAnsi" w:hAnsiTheme="majorHAnsi" w:cs="Times New Roman"/>
          <w:b/>
          <w:bCs/>
          <w:sz w:val="32"/>
        </w:rPr>
        <w:t>SUCCESSION POLICY</w:t>
      </w:r>
    </w:p>
    <w:p w14:paraId="3ED22492" w14:textId="073AE282" w:rsidR="00455DB1" w:rsidRPr="00581727" w:rsidRDefault="00455DB1" w:rsidP="00A079EE">
      <w:pPr>
        <w:spacing w:after="0" w:line="240" w:lineRule="auto"/>
        <w:jc w:val="center"/>
        <w:rPr>
          <w:rFonts w:asciiTheme="majorHAnsi" w:hAnsiTheme="majorHAnsi" w:cs="Times New Roman"/>
          <w:sz w:val="28"/>
        </w:rPr>
      </w:pPr>
    </w:p>
    <w:p w14:paraId="1ED1CDE8" w14:textId="77777777" w:rsidR="000F7F93" w:rsidRPr="00F47DB0" w:rsidRDefault="000F7F93" w:rsidP="00A079EE">
      <w:pPr>
        <w:spacing w:after="0" w:line="240" w:lineRule="auto"/>
        <w:jc w:val="both"/>
        <w:rPr>
          <w:rFonts w:asciiTheme="majorHAnsi" w:hAnsiTheme="majorHAnsi" w:cs="Times New Roman"/>
          <w:b/>
          <w:bCs/>
          <w:sz w:val="20"/>
          <w:u w:val="single"/>
        </w:rPr>
      </w:pPr>
    </w:p>
    <w:p w14:paraId="71D50117" w14:textId="27DEC933" w:rsidR="00023091" w:rsidRPr="00F47DB0" w:rsidRDefault="00987CD9"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 xml:space="preserve">In accordance with the provisions of the Listing Agreement, the Board of Directors of </w:t>
      </w:r>
      <w:r w:rsidR="00EB0773">
        <w:rPr>
          <w:rFonts w:asciiTheme="majorHAnsi" w:hAnsiTheme="majorHAnsi" w:cs="Times New Roman"/>
          <w:b/>
          <w:bCs/>
          <w:sz w:val="20"/>
        </w:rPr>
        <w:t xml:space="preserve">Le Lavoir </w:t>
      </w:r>
      <w:r w:rsidR="00880E48" w:rsidRPr="00F47DB0">
        <w:rPr>
          <w:rFonts w:asciiTheme="majorHAnsi" w:hAnsiTheme="majorHAnsi" w:cs="Times New Roman"/>
          <w:b/>
          <w:bCs/>
          <w:sz w:val="20"/>
        </w:rPr>
        <w:t>Limited</w:t>
      </w:r>
      <w:r w:rsidRPr="00F47DB0">
        <w:rPr>
          <w:rFonts w:asciiTheme="majorHAnsi" w:hAnsiTheme="majorHAnsi" w:cs="Times New Roman"/>
          <w:sz w:val="20"/>
        </w:rPr>
        <w:t xml:space="preserve"> (“the Company”) has adopted this Policy upon the recommendation of the Nomination and Remuneration Committee. </w:t>
      </w:r>
    </w:p>
    <w:p w14:paraId="1397B7F5" w14:textId="77777777" w:rsidR="00023091" w:rsidRPr="00F47DB0" w:rsidRDefault="00023091" w:rsidP="00A079EE">
      <w:pPr>
        <w:spacing w:after="0" w:line="240" w:lineRule="auto"/>
        <w:jc w:val="both"/>
        <w:rPr>
          <w:rFonts w:asciiTheme="majorHAnsi" w:hAnsiTheme="majorHAnsi" w:cs="Times New Roman"/>
          <w:sz w:val="20"/>
        </w:rPr>
      </w:pPr>
    </w:p>
    <w:p w14:paraId="3E78FB5C" w14:textId="77777777" w:rsidR="000F7F93" w:rsidRPr="00F47DB0" w:rsidRDefault="00987CD9"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The Board based on the recommendation of the Nomination and Remuneration Committee may amend this Policy from time to time to incorporate any subsequent amendment(s)/modification(s) in the Listing Agreement with respect to matters covered under this Policy or otherwise.</w:t>
      </w:r>
    </w:p>
    <w:p w14:paraId="424FCB98" w14:textId="77777777" w:rsidR="00987CD9" w:rsidRPr="00F47DB0" w:rsidRDefault="00987CD9" w:rsidP="00A079EE">
      <w:pPr>
        <w:spacing w:after="0" w:line="240" w:lineRule="auto"/>
        <w:jc w:val="both"/>
        <w:rPr>
          <w:rFonts w:asciiTheme="majorHAnsi" w:hAnsiTheme="majorHAnsi" w:cs="Times New Roman"/>
          <w:b/>
          <w:bCs/>
          <w:sz w:val="20"/>
          <w:u w:val="single"/>
        </w:rPr>
      </w:pPr>
    </w:p>
    <w:p w14:paraId="0A425186" w14:textId="77777777" w:rsidR="00EB3BA4" w:rsidRPr="00F47DB0" w:rsidRDefault="00EB3BA4" w:rsidP="00A079EE">
      <w:pPr>
        <w:spacing w:after="0" w:line="240" w:lineRule="auto"/>
        <w:jc w:val="both"/>
        <w:rPr>
          <w:rFonts w:asciiTheme="majorHAnsi" w:hAnsiTheme="majorHAnsi" w:cs="Times New Roman"/>
          <w:b/>
          <w:bCs/>
          <w:i/>
          <w:iCs/>
          <w:sz w:val="20"/>
          <w:u w:val="single"/>
        </w:rPr>
      </w:pPr>
      <w:r w:rsidRPr="00F47DB0">
        <w:rPr>
          <w:rFonts w:asciiTheme="majorHAnsi" w:hAnsiTheme="majorHAnsi" w:cs="Times New Roman"/>
          <w:b/>
          <w:bCs/>
          <w:i/>
          <w:iCs/>
          <w:sz w:val="20"/>
          <w:u w:val="single"/>
        </w:rPr>
        <w:t>OBJECTIVE</w:t>
      </w:r>
    </w:p>
    <w:p w14:paraId="2D3E4A36" w14:textId="77777777" w:rsidR="00EB3BA4" w:rsidRPr="00F47DB0" w:rsidRDefault="00EB3BA4" w:rsidP="00A079EE">
      <w:pPr>
        <w:spacing w:after="0" w:line="240" w:lineRule="auto"/>
        <w:jc w:val="both"/>
        <w:rPr>
          <w:rFonts w:asciiTheme="majorHAnsi" w:hAnsiTheme="majorHAnsi" w:cs="Times New Roman"/>
          <w:sz w:val="20"/>
        </w:rPr>
      </w:pPr>
    </w:p>
    <w:p w14:paraId="49B1CCDD" w14:textId="77777777" w:rsidR="0074344A" w:rsidRPr="00F47DB0" w:rsidRDefault="00987CD9"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 xml:space="preserve">The objective of this Policy is to ensure the orderly identification and selection of new </w:t>
      </w:r>
      <w:r w:rsidR="00885A8F" w:rsidRPr="00F47DB0">
        <w:rPr>
          <w:rFonts w:asciiTheme="majorHAnsi" w:hAnsiTheme="majorHAnsi" w:cs="Times New Roman"/>
          <w:sz w:val="20"/>
        </w:rPr>
        <w:t>d</w:t>
      </w:r>
      <w:r w:rsidRPr="00F47DB0">
        <w:rPr>
          <w:rFonts w:asciiTheme="majorHAnsi" w:hAnsiTheme="majorHAnsi" w:cs="Times New Roman"/>
          <w:sz w:val="20"/>
        </w:rPr>
        <w:t>irectors or Senior Management in the event of any vacancy, whether such vacancy exists by reason of an anticipated retirement, an unanticipated departure, the expansion of the size of the Company, or otherwise.</w:t>
      </w:r>
    </w:p>
    <w:p w14:paraId="450D0C8E" w14:textId="77777777" w:rsidR="00987CD9" w:rsidRPr="00F47DB0" w:rsidRDefault="00987CD9" w:rsidP="00A079EE">
      <w:pPr>
        <w:pStyle w:val="ListParagraph"/>
        <w:spacing w:after="0" w:line="240" w:lineRule="auto"/>
        <w:jc w:val="both"/>
        <w:rPr>
          <w:rFonts w:asciiTheme="majorHAnsi" w:hAnsiTheme="majorHAnsi" w:cs="Times New Roman"/>
          <w:sz w:val="20"/>
        </w:rPr>
      </w:pPr>
    </w:p>
    <w:p w14:paraId="20A78E5C" w14:textId="77777777" w:rsidR="003853A8" w:rsidRPr="00F47DB0" w:rsidRDefault="0053381F" w:rsidP="00A079EE">
      <w:pPr>
        <w:spacing w:after="0" w:line="240" w:lineRule="auto"/>
        <w:jc w:val="both"/>
        <w:rPr>
          <w:rFonts w:asciiTheme="majorHAnsi" w:hAnsiTheme="majorHAnsi" w:cs="Times New Roman"/>
          <w:b/>
          <w:bCs/>
          <w:i/>
          <w:iCs/>
          <w:sz w:val="20"/>
          <w:u w:val="single"/>
        </w:rPr>
      </w:pPr>
      <w:r w:rsidRPr="00F47DB0">
        <w:rPr>
          <w:rFonts w:asciiTheme="majorHAnsi" w:hAnsiTheme="majorHAnsi" w:cs="Times New Roman"/>
          <w:b/>
          <w:bCs/>
          <w:i/>
          <w:iCs/>
          <w:sz w:val="20"/>
          <w:u w:val="single"/>
        </w:rPr>
        <w:t>DEFINITIONS</w:t>
      </w:r>
    </w:p>
    <w:p w14:paraId="570D330A" w14:textId="77777777" w:rsidR="003853A8" w:rsidRPr="00F47DB0" w:rsidRDefault="003853A8" w:rsidP="00A079EE">
      <w:pPr>
        <w:spacing w:after="0" w:line="240" w:lineRule="auto"/>
        <w:jc w:val="both"/>
        <w:rPr>
          <w:rFonts w:asciiTheme="majorHAnsi" w:hAnsiTheme="majorHAnsi" w:cs="Times New Roman"/>
          <w:b/>
          <w:bCs/>
          <w:i/>
          <w:iCs/>
          <w:sz w:val="20"/>
          <w:u w:val="single"/>
        </w:rPr>
      </w:pPr>
    </w:p>
    <w:p w14:paraId="306BFBBF" w14:textId="77777777" w:rsidR="007C6BD6" w:rsidRPr="00F47DB0" w:rsidRDefault="007C6BD6"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w:t>
      </w:r>
      <w:r w:rsidRPr="00F47DB0">
        <w:rPr>
          <w:rFonts w:asciiTheme="majorHAnsi" w:hAnsiTheme="majorHAnsi" w:cs="Times New Roman"/>
          <w:b/>
          <w:bCs/>
          <w:sz w:val="20"/>
        </w:rPr>
        <w:t>Act</w:t>
      </w:r>
      <w:r w:rsidRPr="00F47DB0">
        <w:rPr>
          <w:rFonts w:asciiTheme="majorHAnsi" w:hAnsiTheme="majorHAnsi" w:cs="Times New Roman"/>
          <w:sz w:val="20"/>
        </w:rPr>
        <w:t xml:space="preserve">” shall mean the Companies Act, 2013 and the Rules </w:t>
      </w:r>
      <w:r w:rsidR="00B635A1" w:rsidRPr="00F47DB0">
        <w:rPr>
          <w:rFonts w:asciiTheme="majorHAnsi" w:hAnsiTheme="majorHAnsi" w:cs="Times New Roman"/>
          <w:sz w:val="20"/>
        </w:rPr>
        <w:t xml:space="preserve">made </w:t>
      </w:r>
      <w:r w:rsidRPr="00F47DB0">
        <w:rPr>
          <w:rFonts w:asciiTheme="majorHAnsi" w:hAnsiTheme="majorHAnsi" w:cs="Times New Roman"/>
          <w:sz w:val="20"/>
        </w:rPr>
        <w:t>thereunder, including the modifications, amendments, clarifications, circulars or re-enactment thereof.</w:t>
      </w:r>
    </w:p>
    <w:p w14:paraId="39A5A48E" w14:textId="77777777" w:rsidR="007C6BD6" w:rsidRPr="00F47DB0" w:rsidRDefault="007C6BD6" w:rsidP="00A079EE">
      <w:pPr>
        <w:spacing w:after="0" w:line="240" w:lineRule="auto"/>
        <w:jc w:val="both"/>
        <w:rPr>
          <w:rFonts w:asciiTheme="majorHAnsi" w:hAnsiTheme="majorHAnsi" w:cs="Times New Roman"/>
          <w:sz w:val="20"/>
        </w:rPr>
      </w:pPr>
    </w:p>
    <w:p w14:paraId="22A6B115" w14:textId="77777777" w:rsidR="007C6BD6" w:rsidRPr="00F47DB0" w:rsidRDefault="003853A8"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 xml:space="preserve"> </w:t>
      </w:r>
      <w:r w:rsidR="007C6BD6" w:rsidRPr="00F47DB0">
        <w:rPr>
          <w:rFonts w:asciiTheme="majorHAnsi" w:hAnsiTheme="majorHAnsi" w:cs="Times New Roman"/>
          <w:sz w:val="20"/>
        </w:rPr>
        <w:t>“</w:t>
      </w:r>
      <w:r w:rsidR="007C6BD6" w:rsidRPr="00F47DB0">
        <w:rPr>
          <w:rFonts w:asciiTheme="majorHAnsi" w:hAnsiTheme="majorHAnsi" w:cs="Times New Roman"/>
          <w:b/>
          <w:bCs/>
          <w:sz w:val="20"/>
        </w:rPr>
        <w:t>Board</w:t>
      </w:r>
      <w:r w:rsidR="007C6BD6" w:rsidRPr="00F47DB0">
        <w:rPr>
          <w:rFonts w:asciiTheme="majorHAnsi" w:hAnsiTheme="majorHAnsi" w:cs="Times New Roman"/>
          <w:sz w:val="20"/>
        </w:rPr>
        <w:t>” means Board of Directors of the Company.</w:t>
      </w:r>
    </w:p>
    <w:p w14:paraId="6FE42FC5" w14:textId="77777777" w:rsidR="007C6BD6" w:rsidRPr="00F47DB0" w:rsidRDefault="007C6BD6" w:rsidP="00A079EE">
      <w:pPr>
        <w:spacing w:after="0" w:line="240" w:lineRule="auto"/>
        <w:jc w:val="both"/>
        <w:rPr>
          <w:rFonts w:asciiTheme="majorHAnsi" w:hAnsiTheme="majorHAnsi" w:cs="Times New Roman"/>
          <w:sz w:val="20"/>
        </w:rPr>
      </w:pPr>
    </w:p>
    <w:p w14:paraId="20097ACD" w14:textId="77777777" w:rsidR="000F2F44" w:rsidRPr="00F47DB0" w:rsidRDefault="000F2F44"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w:t>
      </w:r>
      <w:r w:rsidRPr="00F47DB0">
        <w:rPr>
          <w:rFonts w:asciiTheme="majorHAnsi" w:hAnsiTheme="majorHAnsi" w:cs="Times New Roman"/>
          <w:b/>
          <w:bCs/>
          <w:sz w:val="20"/>
        </w:rPr>
        <w:t>Committee</w:t>
      </w:r>
      <w:r w:rsidRPr="00F47DB0">
        <w:rPr>
          <w:rFonts w:asciiTheme="majorHAnsi" w:hAnsiTheme="majorHAnsi" w:cs="Times New Roman"/>
          <w:sz w:val="20"/>
        </w:rPr>
        <w:t>” means Nomination and Remuneration Committee of the Company as constituted or reconstituted by the Board.</w:t>
      </w:r>
    </w:p>
    <w:p w14:paraId="26B8C30C" w14:textId="77777777" w:rsidR="000F2F44" w:rsidRPr="00F47DB0" w:rsidRDefault="000F2F44" w:rsidP="00A079EE">
      <w:pPr>
        <w:spacing w:after="0" w:line="240" w:lineRule="auto"/>
        <w:jc w:val="both"/>
        <w:rPr>
          <w:rFonts w:asciiTheme="majorHAnsi" w:hAnsiTheme="majorHAnsi" w:cs="Times New Roman"/>
          <w:sz w:val="20"/>
        </w:rPr>
      </w:pPr>
    </w:p>
    <w:p w14:paraId="191F5C28" w14:textId="3F4712C9" w:rsidR="007C6BD6" w:rsidRPr="00F47DB0" w:rsidRDefault="007C6BD6"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w:t>
      </w:r>
      <w:r w:rsidRPr="00F47DB0">
        <w:rPr>
          <w:rFonts w:asciiTheme="majorHAnsi" w:hAnsiTheme="majorHAnsi" w:cs="Times New Roman"/>
          <w:b/>
          <w:bCs/>
          <w:sz w:val="20"/>
        </w:rPr>
        <w:t>Company</w:t>
      </w:r>
      <w:r w:rsidRPr="00F47DB0">
        <w:rPr>
          <w:rFonts w:asciiTheme="majorHAnsi" w:hAnsiTheme="majorHAnsi" w:cs="Times New Roman"/>
          <w:sz w:val="20"/>
        </w:rPr>
        <w:t xml:space="preserve">” means </w:t>
      </w:r>
      <w:r w:rsidR="00F47DB0" w:rsidRPr="00F47DB0">
        <w:rPr>
          <w:rFonts w:asciiTheme="majorHAnsi" w:hAnsiTheme="majorHAnsi" w:cs="Times New Roman"/>
          <w:sz w:val="20"/>
        </w:rPr>
        <w:t>“</w:t>
      </w:r>
      <w:r w:rsidR="001517A6">
        <w:rPr>
          <w:rFonts w:asciiTheme="majorHAnsi" w:hAnsiTheme="majorHAnsi" w:cs="Times New Roman"/>
          <w:sz w:val="20"/>
        </w:rPr>
        <w:t xml:space="preserve">Le Lavoir </w:t>
      </w:r>
      <w:r w:rsidR="00434F1F" w:rsidRPr="00F47DB0">
        <w:rPr>
          <w:rFonts w:asciiTheme="majorHAnsi" w:hAnsiTheme="majorHAnsi" w:cs="Times New Roman"/>
          <w:sz w:val="20"/>
        </w:rPr>
        <w:t>Limited</w:t>
      </w:r>
      <w:r w:rsidR="00F47DB0" w:rsidRPr="00F47DB0">
        <w:rPr>
          <w:rFonts w:asciiTheme="majorHAnsi" w:hAnsiTheme="majorHAnsi" w:cs="Times New Roman"/>
          <w:sz w:val="20"/>
        </w:rPr>
        <w:t>”</w:t>
      </w:r>
      <w:r w:rsidRPr="00F47DB0">
        <w:rPr>
          <w:rFonts w:asciiTheme="majorHAnsi" w:hAnsiTheme="majorHAnsi" w:cs="Times New Roman"/>
          <w:sz w:val="20"/>
        </w:rPr>
        <w:t>.</w:t>
      </w:r>
    </w:p>
    <w:p w14:paraId="631F383B" w14:textId="77777777" w:rsidR="007C6BD6" w:rsidRPr="00F47DB0" w:rsidRDefault="007C6BD6" w:rsidP="00A079EE">
      <w:pPr>
        <w:spacing w:after="0" w:line="240" w:lineRule="auto"/>
        <w:jc w:val="both"/>
        <w:rPr>
          <w:rFonts w:asciiTheme="majorHAnsi" w:hAnsiTheme="majorHAnsi" w:cs="Times New Roman"/>
          <w:sz w:val="20"/>
        </w:rPr>
      </w:pPr>
    </w:p>
    <w:p w14:paraId="3FBD1722" w14:textId="77777777" w:rsidR="006106F4" w:rsidRPr="00F47DB0" w:rsidRDefault="006106F4"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w:t>
      </w:r>
      <w:r w:rsidRPr="00F47DB0">
        <w:rPr>
          <w:rFonts w:asciiTheme="majorHAnsi" w:hAnsiTheme="majorHAnsi" w:cs="Times New Roman"/>
          <w:b/>
          <w:bCs/>
          <w:sz w:val="20"/>
        </w:rPr>
        <w:t xml:space="preserve">Directors” </w:t>
      </w:r>
      <w:r w:rsidRPr="00F47DB0">
        <w:rPr>
          <w:rFonts w:asciiTheme="majorHAnsi" w:hAnsiTheme="majorHAnsi" w:cs="Times New Roman"/>
          <w:sz w:val="20"/>
        </w:rPr>
        <w:t>mean Directors of the Company.</w:t>
      </w:r>
    </w:p>
    <w:p w14:paraId="542D5C2D" w14:textId="77777777" w:rsidR="006106F4" w:rsidRPr="00F47DB0" w:rsidRDefault="006106F4" w:rsidP="00A079EE">
      <w:pPr>
        <w:spacing w:after="0" w:line="240" w:lineRule="auto"/>
        <w:jc w:val="both"/>
        <w:rPr>
          <w:rFonts w:asciiTheme="majorHAnsi" w:hAnsiTheme="majorHAnsi" w:cs="Times New Roman"/>
          <w:sz w:val="20"/>
        </w:rPr>
      </w:pPr>
    </w:p>
    <w:p w14:paraId="6B36089B" w14:textId="77777777" w:rsidR="006106F4" w:rsidRPr="00F47DB0" w:rsidRDefault="006106F4"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w:t>
      </w:r>
      <w:r w:rsidRPr="00F47DB0">
        <w:rPr>
          <w:rFonts w:asciiTheme="majorHAnsi" w:hAnsiTheme="majorHAnsi" w:cs="Times New Roman"/>
          <w:b/>
          <w:bCs/>
          <w:sz w:val="20"/>
        </w:rPr>
        <w:t>Key Managerial Personnel</w:t>
      </w:r>
      <w:r w:rsidRPr="00F47DB0">
        <w:rPr>
          <w:rFonts w:asciiTheme="majorHAnsi" w:hAnsiTheme="majorHAnsi" w:cs="Times New Roman"/>
          <w:sz w:val="20"/>
        </w:rPr>
        <w:t>” means key managerial personnel as defined under the Companies Act, 2013 and includes –</w:t>
      </w:r>
    </w:p>
    <w:p w14:paraId="12F50F7B" w14:textId="77777777" w:rsidR="006106F4" w:rsidRPr="00F47DB0" w:rsidRDefault="006106F4" w:rsidP="00A079EE">
      <w:pPr>
        <w:spacing w:after="0" w:line="240" w:lineRule="auto"/>
        <w:jc w:val="both"/>
        <w:rPr>
          <w:rFonts w:asciiTheme="majorHAnsi" w:hAnsiTheme="majorHAnsi" w:cs="Times New Roman"/>
          <w:sz w:val="20"/>
        </w:rPr>
      </w:pPr>
    </w:p>
    <w:p w14:paraId="5E5FAE2F" w14:textId="77777777" w:rsidR="006106F4" w:rsidRPr="00F47DB0" w:rsidRDefault="006106F4" w:rsidP="00A079EE">
      <w:pPr>
        <w:pStyle w:val="ListParagraph"/>
        <w:numPr>
          <w:ilvl w:val="0"/>
          <w:numId w:val="17"/>
        </w:numPr>
        <w:spacing w:after="0" w:line="240" w:lineRule="auto"/>
        <w:ind w:left="720"/>
        <w:jc w:val="both"/>
        <w:rPr>
          <w:rFonts w:asciiTheme="majorHAnsi" w:hAnsiTheme="majorHAnsi" w:cs="Times New Roman"/>
          <w:sz w:val="20"/>
        </w:rPr>
      </w:pPr>
      <w:r w:rsidRPr="00F47DB0">
        <w:rPr>
          <w:rFonts w:asciiTheme="majorHAnsi" w:hAnsiTheme="majorHAnsi" w:cs="Times New Roman"/>
          <w:sz w:val="20"/>
        </w:rPr>
        <w:t>Managing Director, or Executive Director or manager and in their absence, a whole- time director; (includes Executive Chairman)</w:t>
      </w:r>
    </w:p>
    <w:p w14:paraId="17AA2C60" w14:textId="77777777" w:rsidR="006106F4" w:rsidRPr="00F47DB0" w:rsidRDefault="006106F4" w:rsidP="00A079EE">
      <w:pPr>
        <w:pStyle w:val="ListParagraph"/>
        <w:numPr>
          <w:ilvl w:val="0"/>
          <w:numId w:val="17"/>
        </w:numPr>
        <w:spacing w:after="0" w:line="240" w:lineRule="auto"/>
        <w:ind w:left="720"/>
        <w:jc w:val="both"/>
        <w:rPr>
          <w:rFonts w:asciiTheme="majorHAnsi" w:hAnsiTheme="majorHAnsi" w:cs="Times New Roman"/>
          <w:sz w:val="20"/>
        </w:rPr>
      </w:pPr>
      <w:r w:rsidRPr="00F47DB0">
        <w:rPr>
          <w:rFonts w:asciiTheme="majorHAnsi" w:hAnsiTheme="majorHAnsi" w:cs="Times New Roman"/>
          <w:sz w:val="20"/>
        </w:rPr>
        <w:t>Company Secretary;</w:t>
      </w:r>
    </w:p>
    <w:p w14:paraId="7675168B" w14:textId="77777777" w:rsidR="006106F4" w:rsidRPr="00F47DB0" w:rsidRDefault="006106F4" w:rsidP="00A079EE">
      <w:pPr>
        <w:pStyle w:val="ListParagraph"/>
        <w:numPr>
          <w:ilvl w:val="0"/>
          <w:numId w:val="17"/>
        </w:numPr>
        <w:spacing w:after="0" w:line="240" w:lineRule="auto"/>
        <w:ind w:left="720"/>
        <w:jc w:val="both"/>
        <w:rPr>
          <w:rFonts w:asciiTheme="majorHAnsi" w:hAnsiTheme="majorHAnsi" w:cs="Times New Roman"/>
          <w:sz w:val="20"/>
        </w:rPr>
      </w:pPr>
      <w:r w:rsidRPr="00F47DB0">
        <w:rPr>
          <w:rFonts w:asciiTheme="majorHAnsi" w:hAnsiTheme="majorHAnsi" w:cs="Times New Roman"/>
          <w:sz w:val="20"/>
        </w:rPr>
        <w:t>Chief Financial Officer; and</w:t>
      </w:r>
    </w:p>
    <w:p w14:paraId="04EED121" w14:textId="77777777" w:rsidR="006106F4" w:rsidRPr="00F47DB0" w:rsidRDefault="006106F4" w:rsidP="00A079EE">
      <w:pPr>
        <w:pStyle w:val="ListParagraph"/>
        <w:numPr>
          <w:ilvl w:val="0"/>
          <w:numId w:val="17"/>
        </w:numPr>
        <w:spacing w:after="0" w:line="240" w:lineRule="auto"/>
        <w:ind w:left="720"/>
        <w:jc w:val="both"/>
        <w:rPr>
          <w:rFonts w:asciiTheme="majorHAnsi" w:hAnsiTheme="majorHAnsi" w:cs="Times New Roman"/>
          <w:sz w:val="20"/>
        </w:rPr>
      </w:pPr>
      <w:r w:rsidRPr="00F47DB0">
        <w:rPr>
          <w:rFonts w:asciiTheme="majorHAnsi" w:hAnsiTheme="majorHAnsi" w:cs="Times New Roman"/>
          <w:sz w:val="20"/>
        </w:rPr>
        <w:t>Such other officer as may be prescribed.</w:t>
      </w:r>
    </w:p>
    <w:p w14:paraId="58D99190" w14:textId="77777777" w:rsidR="006106F4" w:rsidRPr="00F47DB0" w:rsidRDefault="006106F4" w:rsidP="00A079EE">
      <w:pPr>
        <w:spacing w:after="0" w:line="240" w:lineRule="auto"/>
        <w:ind w:left="360"/>
        <w:jc w:val="both"/>
        <w:rPr>
          <w:rFonts w:asciiTheme="majorHAnsi" w:hAnsiTheme="majorHAnsi" w:cs="Times New Roman"/>
          <w:sz w:val="20"/>
        </w:rPr>
      </w:pPr>
    </w:p>
    <w:p w14:paraId="2DB23275" w14:textId="77777777" w:rsidR="000F2F44" w:rsidRPr="00F47DB0" w:rsidRDefault="000F2F44"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w:t>
      </w:r>
      <w:r w:rsidRPr="00F47DB0">
        <w:rPr>
          <w:rFonts w:asciiTheme="majorHAnsi" w:hAnsiTheme="majorHAnsi" w:cs="Times New Roman"/>
          <w:b/>
          <w:bCs/>
          <w:sz w:val="20"/>
        </w:rPr>
        <w:t>Policy</w:t>
      </w:r>
      <w:r w:rsidRPr="00F47DB0">
        <w:rPr>
          <w:rFonts w:asciiTheme="majorHAnsi" w:hAnsiTheme="majorHAnsi" w:cs="Times New Roman"/>
          <w:sz w:val="20"/>
        </w:rPr>
        <w:t>” or “</w:t>
      </w:r>
      <w:r w:rsidRPr="00F47DB0">
        <w:rPr>
          <w:rFonts w:asciiTheme="majorHAnsi" w:hAnsiTheme="majorHAnsi" w:cs="Times New Roman"/>
          <w:b/>
          <w:bCs/>
          <w:sz w:val="20"/>
        </w:rPr>
        <w:t>This policy</w:t>
      </w:r>
      <w:r w:rsidRPr="00F47DB0">
        <w:rPr>
          <w:rFonts w:asciiTheme="majorHAnsi" w:hAnsiTheme="majorHAnsi" w:cs="Times New Roman"/>
          <w:sz w:val="20"/>
        </w:rPr>
        <w:t xml:space="preserve">” means </w:t>
      </w:r>
      <w:r w:rsidR="0019186B" w:rsidRPr="00F47DB0">
        <w:rPr>
          <w:rFonts w:asciiTheme="majorHAnsi" w:hAnsiTheme="majorHAnsi" w:cs="Times New Roman"/>
          <w:sz w:val="20"/>
        </w:rPr>
        <w:t>Succession</w:t>
      </w:r>
      <w:r w:rsidR="00F70630" w:rsidRPr="00F47DB0">
        <w:rPr>
          <w:rFonts w:asciiTheme="majorHAnsi" w:hAnsiTheme="majorHAnsi" w:cs="Times New Roman"/>
          <w:sz w:val="20"/>
        </w:rPr>
        <w:t xml:space="preserve"> Policy</w:t>
      </w:r>
      <w:r w:rsidRPr="00F47DB0">
        <w:rPr>
          <w:rFonts w:asciiTheme="majorHAnsi" w:hAnsiTheme="majorHAnsi" w:cs="Times New Roman"/>
          <w:sz w:val="20"/>
        </w:rPr>
        <w:t xml:space="preserve">. </w:t>
      </w:r>
      <w:r w:rsidRPr="00F47DB0">
        <w:rPr>
          <w:rFonts w:asciiTheme="majorHAnsi" w:hAnsiTheme="majorHAnsi" w:cs="Times New Roman"/>
          <w:sz w:val="20"/>
        </w:rPr>
        <w:cr/>
      </w:r>
    </w:p>
    <w:p w14:paraId="2846709F" w14:textId="77777777" w:rsidR="003853A8" w:rsidRPr="00F47DB0" w:rsidRDefault="003853A8"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w:t>
      </w:r>
      <w:r w:rsidRPr="00F47DB0">
        <w:rPr>
          <w:rFonts w:asciiTheme="majorHAnsi" w:hAnsiTheme="majorHAnsi" w:cs="Times New Roman"/>
          <w:b/>
          <w:bCs/>
          <w:sz w:val="20"/>
        </w:rPr>
        <w:t>Senior Management</w:t>
      </w:r>
      <w:r w:rsidRPr="00F47DB0">
        <w:rPr>
          <w:rFonts w:asciiTheme="majorHAnsi" w:hAnsiTheme="majorHAnsi" w:cs="Times New Roman"/>
          <w:sz w:val="20"/>
        </w:rPr>
        <w:t>” Senior Management means personnel of the company who are members of its core management team excluding the Board of Directors. This would also include all members of management one level below the executive directors including all functional heads.</w:t>
      </w:r>
    </w:p>
    <w:p w14:paraId="315B4D7E" w14:textId="77777777" w:rsidR="003853A8" w:rsidRPr="00F47DB0" w:rsidRDefault="003853A8" w:rsidP="00A079EE">
      <w:pPr>
        <w:spacing w:after="0" w:line="240" w:lineRule="auto"/>
        <w:jc w:val="both"/>
        <w:rPr>
          <w:rFonts w:asciiTheme="majorHAnsi" w:hAnsiTheme="majorHAnsi" w:cs="Times New Roman"/>
          <w:sz w:val="20"/>
        </w:rPr>
      </w:pPr>
    </w:p>
    <w:p w14:paraId="16B8AA6D" w14:textId="77777777" w:rsidR="001C7700" w:rsidRPr="00F47DB0" w:rsidRDefault="001C7700" w:rsidP="00A079EE">
      <w:pPr>
        <w:spacing w:after="0" w:line="240" w:lineRule="auto"/>
        <w:jc w:val="both"/>
        <w:rPr>
          <w:rFonts w:asciiTheme="majorHAnsi" w:hAnsiTheme="majorHAnsi" w:cs="Times New Roman"/>
          <w:i/>
          <w:iCs/>
          <w:sz w:val="20"/>
        </w:rPr>
      </w:pPr>
      <w:r w:rsidRPr="00F47DB0">
        <w:rPr>
          <w:rFonts w:asciiTheme="majorHAnsi" w:hAnsiTheme="majorHAnsi" w:cs="Times New Roman"/>
          <w:i/>
          <w:iCs/>
          <w:sz w:val="20"/>
        </w:rPr>
        <w:t>Unless the context otherwise requires, words and expressions used in this policy and not defined herein but defined in the Companies Act, 2013 and the Listing Agreement as may be amended from time to time shall have the meaning respectively assigned to them therein.</w:t>
      </w:r>
    </w:p>
    <w:p w14:paraId="456ECE4C" w14:textId="77777777" w:rsidR="00987CD9" w:rsidRPr="00F47DB0" w:rsidRDefault="00987CD9" w:rsidP="00A079EE">
      <w:pPr>
        <w:spacing w:after="0" w:line="240" w:lineRule="auto"/>
        <w:jc w:val="both"/>
        <w:rPr>
          <w:rFonts w:asciiTheme="majorHAnsi" w:hAnsiTheme="majorHAnsi" w:cs="Times New Roman"/>
          <w:sz w:val="20"/>
        </w:rPr>
      </w:pPr>
    </w:p>
    <w:p w14:paraId="46ED0403" w14:textId="71253D95" w:rsidR="00987CD9" w:rsidRPr="00F47DB0" w:rsidRDefault="00987CD9" w:rsidP="00A079EE">
      <w:pPr>
        <w:spacing w:after="0" w:line="240" w:lineRule="auto"/>
        <w:jc w:val="both"/>
        <w:rPr>
          <w:rFonts w:asciiTheme="majorHAnsi" w:hAnsiTheme="majorHAnsi" w:cs="Times New Roman"/>
          <w:b/>
          <w:bCs/>
          <w:i/>
          <w:iCs/>
          <w:sz w:val="20"/>
          <w:u w:val="single"/>
        </w:rPr>
      </w:pPr>
      <w:r w:rsidRPr="00F47DB0">
        <w:rPr>
          <w:rFonts w:asciiTheme="majorHAnsi" w:hAnsiTheme="majorHAnsi" w:cs="Times New Roman"/>
          <w:b/>
          <w:bCs/>
          <w:i/>
          <w:iCs/>
          <w:sz w:val="20"/>
          <w:u w:val="single"/>
        </w:rPr>
        <w:t>POLICY</w:t>
      </w:r>
    </w:p>
    <w:p w14:paraId="0DBFCF18" w14:textId="77777777" w:rsidR="00987CD9" w:rsidRPr="00F47DB0" w:rsidRDefault="00987CD9" w:rsidP="00A079EE">
      <w:pPr>
        <w:spacing w:after="0" w:line="240" w:lineRule="auto"/>
        <w:jc w:val="both"/>
        <w:rPr>
          <w:rFonts w:asciiTheme="majorHAnsi" w:hAnsiTheme="majorHAnsi" w:cs="Times New Roman"/>
          <w:sz w:val="20"/>
        </w:rPr>
      </w:pPr>
    </w:p>
    <w:p w14:paraId="127883B1" w14:textId="77777777" w:rsidR="00987CD9" w:rsidRPr="00F47DB0" w:rsidRDefault="00987CD9"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 xml:space="preserve">The Committee shall periodically review and determine if there is reason to believe that one or more Director slots/Senior Management position shall become vacant within the next twelve months and accordingly report its findings to the Board. </w:t>
      </w:r>
    </w:p>
    <w:p w14:paraId="3460EB14" w14:textId="731F7C74" w:rsidR="00581727" w:rsidRDefault="00581727">
      <w:pPr>
        <w:rPr>
          <w:rFonts w:asciiTheme="majorHAnsi" w:hAnsiTheme="majorHAnsi" w:cs="Times New Roman"/>
          <w:sz w:val="20"/>
        </w:rPr>
      </w:pPr>
      <w:r>
        <w:rPr>
          <w:rFonts w:asciiTheme="majorHAnsi" w:hAnsiTheme="majorHAnsi" w:cs="Times New Roman"/>
          <w:sz w:val="20"/>
        </w:rPr>
        <w:br w:type="page"/>
      </w:r>
    </w:p>
    <w:p w14:paraId="05272693" w14:textId="77777777" w:rsidR="00987CD9" w:rsidRPr="00F47DB0" w:rsidRDefault="0053381F"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lastRenderedPageBreak/>
        <w:t xml:space="preserve">Procedure </w:t>
      </w:r>
    </w:p>
    <w:p w14:paraId="49FF93BE" w14:textId="77777777" w:rsidR="00987CD9" w:rsidRPr="00F47DB0" w:rsidRDefault="00987CD9" w:rsidP="00A079EE">
      <w:pPr>
        <w:spacing w:after="0" w:line="240" w:lineRule="auto"/>
        <w:jc w:val="both"/>
        <w:rPr>
          <w:rFonts w:asciiTheme="majorHAnsi" w:hAnsiTheme="majorHAnsi" w:cs="Times New Roman"/>
          <w:sz w:val="20"/>
        </w:rPr>
      </w:pPr>
    </w:p>
    <w:p w14:paraId="6CD3BEA8" w14:textId="77777777" w:rsidR="004E79E3" w:rsidRPr="00F47DB0" w:rsidRDefault="00987CD9" w:rsidP="004E79E3">
      <w:pPr>
        <w:pStyle w:val="ListParagraph"/>
        <w:numPr>
          <w:ilvl w:val="0"/>
          <w:numId w:val="24"/>
        </w:numPr>
        <w:spacing w:after="0" w:line="240" w:lineRule="auto"/>
        <w:jc w:val="both"/>
        <w:rPr>
          <w:rFonts w:asciiTheme="majorHAnsi" w:hAnsiTheme="majorHAnsi" w:cs="Times New Roman"/>
          <w:sz w:val="20"/>
        </w:rPr>
      </w:pPr>
      <w:r w:rsidRPr="00F47DB0">
        <w:rPr>
          <w:rFonts w:asciiTheme="majorHAnsi" w:hAnsiTheme="majorHAnsi" w:cs="Times New Roman"/>
          <w:sz w:val="20"/>
        </w:rPr>
        <w:t xml:space="preserve">If the Committee anticipates that a Director slot/Senior Management position shall become vacant within the next twelve months </w:t>
      </w:r>
      <w:r w:rsidRPr="00F47DB0">
        <w:rPr>
          <w:rFonts w:asciiTheme="majorHAnsi" w:hAnsiTheme="majorHAnsi" w:cs="Times New Roman"/>
          <w:i/>
          <w:iCs/>
          <w:sz w:val="20"/>
        </w:rPr>
        <w:t>(whether by reason of an announced intent to retire or otherwise)</w:t>
      </w:r>
      <w:r w:rsidRPr="00F47DB0">
        <w:rPr>
          <w:rFonts w:asciiTheme="majorHAnsi" w:hAnsiTheme="majorHAnsi" w:cs="Times New Roman"/>
          <w:sz w:val="20"/>
        </w:rPr>
        <w:t xml:space="preserve">, or if such position suddenly becomes vacant </w:t>
      </w:r>
      <w:r w:rsidRPr="00F47DB0">
        <w:rPr>
          <w:rFonts w:asciiTheme="majorHAnsi" w:hAnsiTheme="majorHAnsi" w:cs="Times New Roman"/>
          <w:i/>
          <w:iCs/>
          <w:sz w:val="20"/>
        </w:rPr>
        <w:t>(whether by death or otherwise)</w:t>
      </w:r>
      <w:r w:rsidRPr="00F47DB0">
        <w:rPr>
          <w:rFonts w:asciiTheme="majorHAnsi" w:hAnsiTheme="majorHAnsi" w:cs="Times New Roman"/>
          <w:sz w:val="20"/>
        </w:rPr>
        <w:t xml:space="preserve">, the Committee shall as soon as reasonably practicable recommend to the Board/ Audit Committee, sufficient number of candidates for selection. </w:t>
      </w:r>
    </w:p>
    <w:p w14:paraId="12461CAF" w14:textId="77777777" w:rsidR="004E79E3" w:rsidRPr="00F47DB0" w:rsidRDefault="004E79E3" w:rsidP="00A079EE">
      <w:pPr>
        <w:spacing w:after="0" w:line="240" w:lineRule="auto"/>
        <w:jc w:val="both"/>
        <w:rPr>
          <w:rFonts w:asciiTheme="majorHAnsi" w:hAnsiTheme="majorHAnsi" w:cs="Times New Roman"/>
          <w:sz w:val="20"/>
        </w:rPr>
      </w:pPr>
    </w:p>
    <w:p w14:paraId="26C71D8C" w14:textId="77777777" w:rsidR="004E79E3" w:rsidRPr="00F47DB0" w:rsidRDefault="00987CD9" w:rsidP="004E79E3">
      <w:pPr>
        <w:pStyle w:val="ListParagraph"/>
        <w:numPr>
          <w:ilvl w:val="0"/>
          <w:numId w:val="24"/>
        </w:numPr>
        <w:spacing w:after="0" w:line="240" w:lineRule="auto"/>
        <w:jc w:val="both"/>
        <w:rPr>
          <w:rFonts w:asciiTheme="majorHAnsi" w:hAnsiTheme="majorHAnsi" w:cs="Times New Roman"/>
          <w:sz w:val="20"/>
        </w:rPr>
      </w:pPr>
      <w:r w:rsidRPr="00F47DB0">
        <w:rPr>
          <w:rFonts w:asciiTheme="majorHAnsi" w:hAnsiTheme="majorHAnsi" w:cs="Times New Roman"/>
          <w:sz w:val="20"/>
        </w:rPr>
        <w:t xml:space="preserve">While identifying potential candidates for nomination as Director or Senior Management, the Committee may consult whatever sources it deems appropriate, including, but not limited to, referrals from existing Directors or Senior Management, recommendations from third-party search firms etc. </w:t>
      </w:r>
    </w:p>
    <w:p w14:paraId="3FC551A3" w14:textId="77777777" w:rsidR="004E79E3" w:rsidRPr="00F47DB0" w:rsidRDefault="004E79E3" w:rsidP="00A079EE">
      <w:pPr>
        <w:spacing w:after="0" w:line="240" w:lineRule="auto"/>
        <w:jc w:val="both"/>
        <w:rPr>
          <w:rFonts w:asciiTheme="majorHAnsi" w:hAnsiTheme="majorHAnsi" w:cs="Times New Roman"/>
          <w:sz w:val="20"/>
        </w:rPr>
      </w:pPr>
    </w:p>
    <w:p w14:paraId="0FD9A286" w14:textId="77777777" w:rsidR="004E79E3" w:rsidRPr="00F47DB0" w:rsidRDefault="00987CD9" w:rsidP="004E79E3">
      <w:pPr>
        <w:pStyle w:val="ListParagraph"/>
        <w:numPr>
          <w:ilvl w:val="0"/>
          <w:numId w:val="24"/>
        </w:numPr>
        <w:spacing w:after="0" w:line="240" w:lineRule="auto"/>
        <w:jc w:val="both"/>
        <w:rPr>
          <w:rFonts w:asciiTheme="majorHAnsi" w:hAnsiTheme="majorHAnsi" w:cs="Times New Roman"/>
          <w:sz w:val="20"/>
        </w:rPr>
      </w:pPr>
      <w:r w:rsidRPr="00F47DB0">
        <w:rPr>
          <w:rFonts w:asciiTheme="majorHAnsi" w:hAnsiTheme="majorHAnsi" w:cs="Times New Roman"/>
          <w:sz w:val="20"/>
        </w:rPr>
        <w:t xml:space="preserve">The Committee shall have the authority to engage whatever advisors </w:t>
      </w:r>
      <w:r w:rsidRPr="00F47DB0">
        <w:rPr>
          <w:rFonts w:asciiTheme="majorHAnsi" w:hAnsiTheme="majorHAnsi" w:cs="Times New Roman"/>
          <w:i/>
          <w:iCs/>
          <w:sz w:val="20"/>
        </w:rPr>
        <w:t>(including attorneys and search firms)</w:t>
      </w:r>
      <w:r w:rsidRPr="00F47DB0">
        <w:rPr>
          <w:rFonts w:asciiTheme="majorHAnsi" w:hAnsiTheme="majorHAnsi" w:cs="Times New Roman"/>
          <w:sz w:val="20"/>
        </w:rPr>
        <w:t xml:space="preserve"> it believes appropriate in its efforts to identify and evaluate potential candidates. </w:t>
      </w:r>
    </w:p>
    <w:p w14:paraId="2B3CAD06" w14:textId="77777777" w:rsidR="004E79E3" w:rsidRPr="00F47DB0" w:rsidRDefault="004E79E3" w:rsidP="00A079EE">
      <w:pPr>
        <w:spacing w:after="0" w:line="240" w:lineRule="auto"/>
        <w:jc w:val="both"/>
        <w:rPr>
          <w:rFonts w:asciiTheme="majorHAnsi" w:hAnsiTheme="majorHAnsi" w:cs="Times New Roman"/>
          <w:sz w:val="20"/>
        </w:rPr>
      </w:pPr>
    </w:p>
    <w:p w14:paraId="51C67773" w14:textId="77777777" w:rsidR="00987CD9" w:rsidRPr="00F47DB0" w:rsidRDefault="00987CD9" w:rsidP="004E79E3">
      <w:pPr>
        <w:pStyle w:val="ListParagraph"/>
        <w:numPr>
          <w:ilvl w:val="0"/>
          <w:numId w:val="24"/>
        </w:numPr>
        <w:spacing w:after="0" w:line="240" w:lineRule="auto"/>
        <w:jc w:val="both"/>
        <w:rPr>
          <w:rFonts w:asciiTheme="majorHAnsi" w:hAnsiTheme="majorHAnsi" w:cs="Times New Roman"/>
          <w:sz w:val="20"/>
        </w:rPr>
      </w:pPr>
      <w:r w:rsidRPr="00F47DB0">
        <w:rPr>
          <w:rFonts w:asciiTheme="majorHAnsi" w:hAnsiTheme="majorHAnsi" w:cs="Times New Roman"/>
          <w:sz w:val="20"/>
        </w:rPr>
        <w:t>The Committee shall also periodically review the list of high performer employees within the Company that may be potential candidates for elevation to the position of Senior Management and can also consider them in case of any vacancy arising at the Senior Management position.</w:t>
      </w:r>
    </w:p>
    <w:p w14:paraId="45E1606D" w14:textId="77777777" w:rsidR="00987CD9" w:rsidRPr="00F47DB0" w:rsidRDefault="00987CD9" w:rsidP="00A079EE">
      <w:pPr>
        <w:spacing w:after="0" w:line="240" w:lineRule="auto"/>
        <w:jc w:val="both"/>
        <w:rPr>
          <w:rFonts w:asciiTheme="majorHAnsi" w:hAnsiTheme="majorHAnsi" w:cs="Times New Roman"/>
          <w:sz w:val="20"/>
        </w:rPr>
      </w:pPr>
    </w:p>
    <w:p w14:paraId="723D13C8" w14:textId="77777777" w:rsidR="00987CD9" w:rsidRPr="00581727" w:rsidRDefault="00BC07BD" w:rsidP="00A079EE">
      <w:pPr>
        <w:spacing w:after="0" w:line="240" w:lineRule="auto"/>
        <w:jc w:val="both"/>
        <w:rPr>
          <w:rFonts w:asciiTheme="majorHAnsi" w:hAnsiTheme="majorHAnsi" w:cs="Times New Roman"/>
          <w:iCs/>
          <w:sz w:val="20"/>
        </w:rPr>
      </w:pPr>
      <w:r w:rsidRPr="00581727">
        <w:rPr>
          <w:rFonts w:asciiTheme="majorHAnsi" w:hAnsiTheme="majorHAnsi" w:cs="Times New Roman"/>
          <w:iCs/>
          <w:sz w:val="20"/>
        </w:rPr>
        <w:t xml:space="preserve">Assessment of Candidates </w:t>
      </w:r>
    </w:p>
    <w:p w14:paraId="2C2CC5DC" w14:textId="77777777" w:rsidR="004E79E3" w:rsidRPr="00581727" w:rsidRDefault="004E79E3" w:rsidP="00A079EE">
      <w:pPr>
        <w:spacing w:after="0" w:line="240" w:lineRule="auto"/>
        <w:jc w:val="both"/>
        <w:rPr>
          <w:rFonts w:asciiTheme="majorHAnsi" w:hAnsiTheme="majorHAnsi" w:cs="Times New Roman"/>
          <w:sz w:val="20"/>
        </w:rPr>
      </w:pPr>
    </w:p>
    <w:p w14:paraId="4CAF5978" w14:textId="77777777" w:rsidR="00987CD9" w:rsidRPr="00F47DB0" w:rsidRDefault="00987CD9" w:rsidP="004E79E3">
      <w:pPr>
        <w:pStyle w:val="ListParagraph"/>
        <w:numPr>
          <w:ilvl w:val="0"/>
          <w:numId w:val="24"/>
        </w:numPr>
        <w:spacing w:after="0" w:line="240" w:lineRule="auto"/>
        <w:jc w:val="both"/>
        <w:rPr>
          <w:rFonts w:asciiTheme="majorHAnsi" w:hAnsiTheme="majorHAnsi" w:cs="Times New Roman"/>
          <w:sz w:val="20"/>
        </w:rPr>
      </w:pPr>
      <w:r w:rsidRPr="00F47DB0">
        <w:rPr>
          <w:rFonts w:asciiTheme="majorHAnsi" w:hAnsiTheme="majorHAnsi" w:cs="Times New Roman"/>
          <w:sz w:val="20"/>
        </w:rPr>
        <w:t>The Committee shall make an initial assessment of potential candidates for the vacancy. It shall select from such pool, candidates for an initial interview by one or more Members of the Committee. No candidate shall be recommended to the Board for selection without such candidate having been interviewed by all the Members of the Committee. When the Committee identifies individuals that it believes meet the criteria mentioned in the Nomination, Remuneration and Evaluation Policy of the Company, it shall recommend them to the Board for selection.</w:t>
      </w:r>
    </w:p>
    <w:p w14:paraId="7E08348B" w14:textId="77777777" w:rsidR="00987CD9" w:rsidRPr="00F47DB0" w:rsidRDefault="00987CD9" w:rsidP="00A079EE">
      <w:pPr>
        <w:spacing w:after="0" w:line="240" w:lineRule="auto"/>
        <w:jc w:val="both"/>
        <w:rPr>
          <w:rFonts w:asciiTheme="majorHAnsi" w:hAnsiTheme="majorHAnsi" w:cs="Times New Roman"/>
          <w:sz w:val="20"/>
        </w:rPr>
      </w:pPr>
    </w:p>
    <w:p w14:paraId="1BD4C48A" w14:textId="77777777" w:rsidR="00987CD9" w:rsidRPr="00F47DB0" w:rsidRDefault="00BC07BD"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Emergency Succession</w:t>
      </w:r>
    </w:p>
    <w:p w14:paraId="4C84A857" w14:textId="77777777" w:rsidR="00987CD9" w:rsidRPr="00F47DB0" w:rsidRDefault="00987CD9" w:rsidP="00A079EE">
      <w:pPr>
        <w:spacing w:after="0" w:line="240" w:lineRule="auto"/>
        <w:jc w:val="both"/>
        <w:rPr>
          <w:rFonts w:asciiTheme="majorHAnsi" w:hAnsiTheme="majorHAnsi" w:cs="Times New Roman"/>
          <w:sz w:val="20"/>
        </w:rPr>
      </w:pPr>
    </w:p>
    <w:p w14:paraId="183AF304" w14:textId="77777777" w:rsidR="00987CD9" w:rsidRPr="00F47DB0" w:rsidRDefault="00987CD9" w:rsidP="004E79E3">
      <w:pPr>
        <w:pStyle w:val="ListParagraph"/>
        <w:numPr>
          <w:ilvl w:val="0"/>
          <w:numId w:val="24"/>
        </w:numPr>
        <w:spacing w:after="0" w:line="240" w:lineRule="auto"/>
        <w:jc w:val="both"/>
        <w:rPr>
          <w:rFonts w:asciiTheme="majorHAnsi" w:hAnsiTheme="majorHAnsi" w:cs="Times New Roman"/>
          <w:sz w:val="20"/>
        </w:rPr>
      </w:pPr>
      <w:r w:rsidRPr="00F47DB0">
        <w:rPr>
          <w:rFonts w:asciiTheme="majorHAnsi" w:hAnsiTheme="majorHAnsi" w:cs="Times New Roman"/>
          <w:sz w:val="20"/>
        </w:rPr>
        <w:t xml:space="preserve">If a Director slot/Senior Management position suddenly becomes vacant by reason of death or other unanticipated occurrence, the Committee shall convene a special meeting as early as possible to implement the process described herein. </w:t>
      </w:r>
    </w:p>
    <w:p w14:paraId="28899907" w14:textId="77777777" w:rsidR="00987CD9" w:rsidRPr="00F47DB0" w:rsidRDefault="00987CD9" w:rsidP="00A079EE">
      <w:pPr>
        <w:spacing w:after="0" w:line="240" w:lineRule="auto"/>
        <w:jc w:val="both"/>
        <w:rPr>
          <w:rFonts w:asciiTheme="majorHAnsi" w:hAnsiTheme="majorHAnsi" w:cs="Times New Roman"/>
          <w:sz w:val="20"/>
        </w:rPr>
      </w:pPr>
    </w:p>
    <w:p w14:paraId="41C05A57" w14:textId="77777777" w:rsidR="00987CD9" w:rsidRPr="00F47DB0" w:rsidRDefault="00BC07BD"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 xml:space="preserve">Review and Monitoring </w:t>
      </w:r>
    </w:p>
    <w:p w14:paraId="0B56894F" w14:textId="77777777" w:rsidR="00987CD9" w:rsidRPr="00F47DB0" w:rsidRDefault="00987CD9" w:rsidP="00A079EE">
      <w:pPr>
        <w:spacing w:after="0" w:line="240" w:lineRule="auto"/>
        <w:jc w:val="both"/>
        <w:rPr>
          <w:rFonts w:asciiTheme="majorHAnsi" w:hAnsiTheme="majorHAnsi" w:cs="Times New Roman"/>
          <w:sz w:val="20"/>
        </w:rPr>
      </w:pPr>
    </w:p>
    <w:p w14:paraId="11DE5D0A" w14:textId="77777777" w:rsidR="00987CD9" w:rsidRPr="00F47DB0" w:rsidRDefault="00987CD9" w:rsidP="004E79E3">
      <w:pPr>
        <w:pStyle w:val="ListParagraph"/>
        <w:numPr>
          <w:ilvl w:val="0"/>
          <w:numId w:val="24"/>
        </w:numPr>
        <w:spacing w:after="0" w:line="240" w:lineRule="auto"/>
        <w:jc w:val="both"/>
        <w:rPr>
          <w:rFonts w:asciiTheme="majorHAnsi" w:hAnsiTheme="majorHAnsi" w:cs="Times New Roman"/>
          <w:sz w:val="20"/>
        </w:rPr>
      </w:pPr>
      <w:r w:rsidRPr="00F47DB0">
        <w:rPr>
          <w:rFonts w:asciiTheme="majorHAnsi" w:hAnsiTheme="majorHAnsi" w:cs="Times New Roman"/>
          <w:sz w:val="20"/>
        </w:rPr>
        <w:t xml:space="preserve">The Nomination and Remuneration Committee shall review and monitor from time to time the implementation of this Policy to ensure its effectiveness and may also recommend changes, if any, to the Board for ensuing effective succession planning. </w:t>
      </w:r>
    </w:p>
    <w:p w14:paraId="1AA40B19" w14:textId="77777777" w:rsidR="00987CD9" w:rsidRPr="00F47DB0" w:rsidRDefault="00987CD9" w:rsidP="00A079EE">
      <w:pPr>
        <w:spacing w:after="0" w:line="240" w:lineRule="auto"/>
        <w:jc w:val="both"/>
        <w:rPr>
          <w:rFonts w:asciiTheme="majorHAnsi" w:hAnsiTheme="majorHAnsi" w:cs="Times New Roman"/>
          <w:sz w:val="20"/>
        </w:rPr>
      </w:pPr>
    </w:p>
    <w:p w14:paraId="224A75FB" w14:textId="77777777" w:rsidR="00987CD9" w:rsidRPr="00F47DB0" w:rsidRDefault="00BC07BD"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 xml:space="preserve">Disclosures </w:t>
      </w:r>
    </w:p>
    <w:p w14:paraId="1D9CE4FE" w14:textId="77777777" w:rsidR="00987CD9" w:rsidRPr="00F47DB0" w:rsidRDefault="00987CD9" w:rsidP="00A079EE">
      <w:pPr>
        <w:spacing w:after="0" w:line="240" w:lineRule="auto"/>
        <w:jc w:val="both"/>
        <w:rPr>
          <w:rFonts w:asciiTheme="majorHAnsi" w:hAnsiTheme="majorHAnsi" w:cs="Times New Roman"/>
          <w:sz w:val="20"/>
        </w:rPr>
      </w:pPr>
    </w:p>
    <w:p w14:paraId="2709B0B4" w14:textId="77777777" w:rsidR="00987CD9" w:rsidRPr="00F47DB0" w:rsidRDefault="00987CD9" w:rsidP="00A079EE">
      <w:pPr>
        <w:spacing w:after="0" w:line="240" w:lineRule="auto"/>
        <w:jc w:val="both"/>
        <w:rPr>
          <w:rFonts w:asciiTheme="majorHAnsi" w:hAnsiTheme="majorHAnsi" w:cs="Times New Roman"/>
          <w:sz w:val="20"/>
        </w:rPr>
      </w:pPr>
      <w:r w:rsidRPr="00F47DB0">
        <w:rPr>
          <w:rFonts w:asciiTheme="majorHAnsi" w:hAnsiTheme="majorHAnsi" w:cs="Times New Roman"/>
          <w:sz w:val="20"/>
        </w:rPr>
        <w:t>The Company shall disclose this Policy on its website and a web link thereto shall be provided in the Annual Report.</w:t>
      </w:r>
    </w:p>
    <w:p w14:paraId="39CCA75B" w14:textId="77777777" w:rsidR="004E79E3" w:rsidRPr="00F47DB0" w:rsidRDefault="004E79E3">
      <w:pPr>
        <w:spacing w:after="0" w:line="240" w:lineRule="auto"/>
        <w:jc w:val="both"/>
        <w:rPr>
          <w:rFonts w:asciiTheme="majorHAnsi" w:hAnsiTheme="majorHAnsi" w:cs="Times New Roman"/>
          <w:sz w:val="20"/>
        </w:rPr>
      </w:pPr>
    </w:p>
    <w:sectPr w:rsidR="004E79E3" w:rsidRPr="00F47DB0" w:rsidSect="00251311">
      <w:pgSz w:w="12240" w:h="15840"/>
      <w:pgMar w:top="13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12746"/>
    <w:multiLevelType w:val="hybridMultilevel"/>
    <w:tmpl w:val="12606BB2"/>
    <w:lvl w:ilvl="0" w:tplc="035C372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226D7"/>
    <w:multiLevelType w:val="hybridMultilevel"/>
    <w:tmpl w:val="9D6A8ACA"/>
    <w:lvl w:ilvl="0" w:tplc="035C372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922AB"/>
    <w:multiLevelType w:val="hybridMultilevel"/>
    <w:tmpl w:val="CD327024"/>
    <w:lvl w:ilvl="0" w:tplc="035C372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272257"/>
    <w:multiLevelType w:val="hybridMultilevel"/>
    <w:tmpl w:val="457E8746"/>
    <w:lvl w:ilvl="0" w:tplc="B50879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343FAE"/>
    <w:multiLevelType w:val="hybridMultilevel"/>
    <w:tmpl w:val="B5BECCB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98374C5"/>
    <w:multiLevelType w:val="hybridMultilevel"/>
    <w:tmpl w:val="64800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63FFB"/>
    <w:multiLevelType w:val="hybridMultilevel"/>
    <w:tmpl w:val="08E21C4E"/>
    <w:lvl w:ilvl="0" w:tplc="B50879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940D5"/>
    <w:multiLevelType w:val="hybridMultilevel"/>
    <w:tmpl w:val="3E4418B8"/>
    <w:lvl w:ilvl="0" w:tplc="9D5407D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C41CFDE6">
      <w:start w:val="1"/>
      <w:numFmt w:val="bullet"/>
      <w:lvlText w:val="•"/>
      <w:lvlJc w:val="left"/>
      <w:pPr>
        <w:ind w:left="2880" w:hanging="360"/>
      </w:pPr>
      <w:rPr>
        <w:rFonts w:ascii="Times New Roman" w:eastAsiaTheme="minorEastAsia"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384127"/>
    <w:multiLevelType w:val="hybridMultilevel"/>
    <w:tmpl w:val="626435F6"/>
    <w:lvl w:ilvl="0" w:tplc="B50879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96907"/>
    <w:multiLevelType w:val="hybridMultilevel"/>
    <w:tmpl w:val="F2567BDE"/>
    <w:lvl w:ilvl="0" w:tplc="B508791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78C271E"/>
    <w:multiLevelType w:val="hybridMultilevel"/>
    <w:tmpl w:val="DFA45854"/>
    <w:lvl w:ilvl="0" w:tplc="B50879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225483"/>
    <w:multiLevelType w:val="hybridMultilevel"/>
    <w:tmpl w:val="EE0E4C14"/>
    <w:lvl w:ilvl="0" w:tplc="B50879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3196A"/>
    <w:multiLevelType w:val="hybridMultilevel"/>
    <w:tmpl w:val="525E3C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C0EC3"/>
    <w:multiLevelType w:val="hybridMultilevel"/>
    <w:tmpl w:val="8D3A94A6"/>
    <w:lvl w:ilvl="0" w:tplc="FCBAF88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EE347E"/>
    <w:multiLevelType w:val="hybridMultilevel"/>
    <w:tmpl w:val="20B88B5E"/>
    <w:lvl w:ilvl="0" w:tplc="B50879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1855B5"/>
    <w:multiLevelType w:val="hybridMultilevel"/>
    <w:tmpl w:val="A25668CC"/>
    <w:lvl w:ilvl="0" w:tplc="B50879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F535D"/>
    <w:multiLevelType w:val="hybridMultilevel"/>
    <w:tmpl w:val="87DA408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61F5A"/>
    <w:multiLevelType w:val="hybridMultilevel"/>
    <w:tmpl w:val="CD327024"/>
    <w:lvl w:ilvl="0" w:tplc="035C372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5515660"/>
    <w:multiLevelType w:val="hybridMultilevel"/>
    <w:tmpl w:val="B5BECCB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5B226D14"/>
    <w:multiLevelType w:val="hybridMultilevel"/>
    <w:tmpl w:val="F3386D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957746"/>
    <w:multiLevelType w:val="hybridMultilevel"/>
    <w:tmpl w:val="12606BB2"/>
    <w:lvl w:ilvl="0" w:tplc="035C372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C553F3"/>
    <w:multiLevelType w:val="hybridMultilevel"/>
    <w:tmpl w:val="D5FCA402"/>
    <w:lvl w:ilvl="0" w:tplc="B50879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906246"/>
    <w:multiLevelType w:val="hybridMultilevel"/>
    <w:tmpl w:val="272E7550"/>
    <w:lvl w:ilvl="0" w:tplc="035C372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B508791A">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B56432"/>
    <w:multiLevelType w:val="hybridMultilevel"/>
    <w:tmpl w:val="2AB84E1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66560724">
    <w:abstractNumId w:val="7"/>
  </w:num>
  <w:num w:numId="2" w16cid:durableId="572200526">
    <w:abstractNumId w:val="15"/>
  </w:num>
  <w:num w:numId="3" w16cid:durableId="438069753">
    <w:abstractNumId w:val="8"/>
  </w:num>
  <w:num w:numId="4" w16cid:durableId="429590736">
    <w:abstractNumId w:val="19"/>
  </w:num>
  <w:num w:numId="5" w16cid:durableId="654382052">
    <w:abstractNumId w:val="23"/>
  </w:num>
  <w:num w:numId="6" w16cid:durableId="44528901">
    <w:abstractNumId w:val="17"/>
  </w:num>
  <w:num w:numId="7" w16cid:durableId="1366129367">
    <w:abstractNumId w:val="13"/>
  </w:num>
  <w:num w:numId="8" w16cid:durableId="2106268666">
    <w:abstractNumId w:val="2"/>
  </w:num>
  <w:num w:numId="9" w16cid:durableId="1930576292">
    <w:abstractNumId w:val="16"/>
  </w:num>
  <w:num w:numId="10" w16cid:durableId="520821705">
    <w:abstractNumId w:val="12"/>
  </w:num>
  <w:num w:numId="11" w16cid:durableId="1561595126">
    <w:abstractNumId w:val="3"/>
  </w:num>
  <w:num w:numId="12" w16cid:durableId="1442458974">
    <w:abstractNumId w:val="5"/>
  </w:num>
  <w:num w:numId="13" w16cid:durableId="425270986">
    <w:abstractNumId w:val="10"/>
  </w:num>
  <w:num w:numId="14" w16cid:durableId="841165838">
    <w:abstractNumId w:val="22"/>
  </w:num>
  <w:num w:numId="15" w16cid:durableId="1845784312">
    <w:abstractNumId w:val="9"/>
  </w:num>
  <w:num w:numId="16" w16cid:durableId="1546678449">
    <w:abstractNumId w:val="21"/>
  </w:num>
  <w:num w:numId="17" w16cid:durableId="1032533563">
    <w:abstractNumId w:val="14"/>
  </w:num>
  <w:num w:numId="18" w16cid:durableId="1241912386">
    <w:abstractNumId w:val="20"/>
  </w:num>
  <w:num w:numId="19" w16cid:durableId="1370062165">
    <w:abstractNumId w:val="1"/>
  </w:num>
  <w:num w:numId="20" w16cid:durableId="1341665461">
    <w:abstractNumId w:val="18"/>
  </w:num>
  <w:num w:numId="21" w16cid:durableId="808278212">
    <w:abstractNumId w:val="4"/>
  </w:num>
  <w:num w:numId="22" w16cid:durableId="74281441">
    <w:abstractNumId w:val="0"/>
  </w:num>
  <w:num w:numId="23" w16cid:durableId="140736909">
    <w:abstractNumId w:val="11"/>
  </w:num>
  <w:num w:numId="24" w16cid:durableId="723649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1BEE"/>
    <w:rsid w:val="00023091"/>
    <w:rsid w:val="00041033"/>
    <w:rsid w:val="00052C66"/>
    <w:rsid w:val="00055DF9"/>
    <w:rsid w:val="00056EBA"/>
    <w:rsid w:val="00063A2A"/>
    <w:rsid w:val="0007472C"/>
    <w:rsid w:val="00085634"/>
    <w:rsid w:val="00096B10"/>
    <w:rsid w:val="000F2F44"/>
    <w:rsid w:val="000F4E46"/>
    <w:rsid w:val="000F7F93"/>
    <w:rsid w:val="00103770"/>
    <w:rsid w:val="001116AB"/>
    <w:rsid w:val="00126192"/>
    <w:rsid w:val="00141BAA"/>
    <w:rsid w:val="00145841"/>
    <w:rsid w:val="001517A6"/>
    <w:rsid w:val="001532B2"/>
    <w:rsid w:val="001717D4"/>
    <w:rsid w:val="0019186B"/>
    <w:rsid w:val="00194221"/>
    <w:rsid w:val="0019588F"/>
    <w:rsid w:val="001A44F8"/>
    <w:rsid w:val="001C241B"/>
    <w:rsid w:val="001C48F7"/>
    <w:rsid w:val="001C7700"/>
    <w:rsid w:val="001F33E5"/>
    <w:rsid w:val="00230A2F"/>
    <w:rsid w:val="002424C8"/>
    <w:rsid w:val="00251311"/>
    <w:rsid w:val="00251D11"/>
    <w:rsid w:val="002705F7"/>
    <w:rsid w:val="0027536C"/>
    <w:rsid w:val="00281F51"/>
    <w:rsid w:val="00293AD0"/>
    <w:rsid w:val="002A5C0E"/>
    <w:rsid w:val="002B1AB0"/>
    <w:rsid w:val="002B7EC1"/>
    <w:rsid w:val="002C4AA3"/>
    <w:rsid w:val="002C7CCA"/>
    <w:rsid w:val="00311DC7"/>
    <w:rsid w:val="003157FB"/>
    <w:rsid w:val="00327F57"/>
    <w:rsid w:val="00331116"/>
    <w:rsid w:val="00340722"/>
    <w:rsid w:val="00345E2A"/>
    <w:rsid w:val="003853A8"/>
    <w:rsid w:val="00385478"/>
    <w:rsid w:val="003C7DE6"/>
    <w:rsid w:val="003D3B4C"/>
    <w:rsid w:val="00400344"/>
    <w:rsid w:val="00400F96"/>
    <w:rsid w:val="00416486"/>
    <w:rsid w:val="00434F1F"/>
    <w:rsid w:val="004416AC"/>
    <w:rsid w:val="00444048"/>
    <w:rsid w:val="00455DB1"/>
    <w:rsid w:val="00456159"/>
    <w:rsid w:val="00480E44"/>
    <w:rsid w:val="00491B6C"/>
    <w:rsid w:val="004A426B"/>
    <w:rsid w:val="004A459D"/>
    <w:rsid w:val="004D581B"/>
    <w:rsid w:val="004E79E3"/>
    <w:rsid w:val="00515ED5"/>
    <w:rsid w:val="00526C5D"/>
    <w:rsid w:val="005274B5"/>
    <w:rsid w:val="0053381F"/>
    <w:rsid w:val="0056261D"/>
    <w:rsid w:val="00581727"/>
    <w:rsid w:val="00583385"/>
    <w:rsid w:val="005B5482"/>
    <w:rsid w:val="005B6775"/>
    <w:rsid w:val="005D4970"/>
    <w:rsid w:val="005D728A"/>
    <w:rsid w:val="006106F4"/>
    <w:rsid w:val="00611E3A"/>
    <w:rsid w:val="00613A53"/>
    <w:rsid w:val="0062626D"/>
    <w:rsid w:val="00637906"/>
    <w:rsid w:val="00640440"/>
    <w:rsid w:val="00660D14"/>
    <w:rsid w:val="00672BF7"/>
    <w:rsid w:val="00673E37"/>
    <w:rsid w:val="00676F52"/>
    <w:rsid w:val="006931A5"/>
    <w:rsid w:val="006A6143"/>
    <w:rsid w:val="006B2525"/>
    <w:rsid w:val="006C36CF"/>
    <w:rsid w:val="006D5313"/>
    <w:rsid w:val="00705117"/>
    <w:rsid w:val="00705BB1"/>
    <w:rsid w:val="0071196E"/>
    <w:rsid w:val="00721937"/>
    <w:rsid w:val="00731DAA"/>
    <w:rsid w:val="00736521"/>
    <w:rsid w:val="0074344A"/>
    <w:rsid w:val="00747C9E"/>
    <w:rsid w:val="007730A1"/>
    <w:rsid w:val="00773EA7"/>
    <w:rsid w:val="00787EC4"/>
    <w:rsid w:val="007B549A"/>
    <w:rsid w:val="007C6BD6"/>
    <w:rsid w:val="007D65B5"/>
    <w:rsid w:val="00834C1C"/>
    <w:rsid w:val="00863FC1"/>
    <w:rsid w:val="00873C43"/>
    <w:rsid w:val="00877E57"/>
    <w:rsid w:val="00880E48"/>
    <w:rsid w:val="00882E54"/>
    <w:rsid w:val="008846E9"/>
    <w:rsid w:val="00885A8F"/>
    <w:rsid w:val="00887D64"/>
    <w:rsid w:val="00892878"/>
    <w:rsid w:val="008C2B67"/>
    <w:rsid w:val="008D5B9F"/>
    <w:rsid w:val="008E3469"/>
    <w:rsid w:val="008E49E1"/>
    <w:rsid w:val="0090489E"/>
    <w:rsid w:val="00907BE1"/>
    <w:rsid w:val="009418C5"/>
    <w:rsid w:val="00945B49"/>
    <w:rsid w:val="0095265B"/>
    <w:rsid w:val="0095443C"/>
    <w:rsid w:val="009712EF"/>
    <w:rsid w:val="00987CD9"/>
    <w:rsid w:val="009922AB"/>
    <w:rsid w:val="009A1F1B"/>
    <w:rsid w:val="009A52FE"/>
    <w:rsid w:val="009C1C9F"/>
    <w:rsid w:val="009C5E56"/>
    <w:rsid w:val="009E0D57"/>
    <w:rsid w:val="009F01C0"/>
    <w:rsid w:val="00A079EE"/>
    <w:rsid w:val="00A17864"/>
    <w:rsid w:val="00A307BA"/>
    <w:rsid w:val="00A35834"/>
    <w:rsid w:val="00A546F8"/>
    <w:rsid w:val="00A7776C"/>
    <w:rsid w:val="00A85794"/>
    <w:rsid w:val="00A97776"/>
    <w:rsid w:val="00AB07D2"/>
    <w:rsid w:val="00AB0DF0"/>
    <w:rsid w:val="00AC7719"/>
    <w:rsid w:val="00AE5587"/>
    <w:rsid w:val="00AE6A6C"/>
    <w:rsid w:val="00B106D8"/>
    <w:rsid w:val="00B17207"/>
    <w:rsid w:val="00B17A79"/>
    <w:rsid w:val="00B20FEF"/>
    <w:rsid w:val="00B24B00"/>
    <w:rsid w:val="00B315C0"/>
    <w:rsid w:val="00B363D0"/>
    <w:rsid w:val="00B43186"/>
    <w:rsid w:val="00B448EA"/>
    <w:rsid w:val="00B635A1"/>
    <w:rsid w:val="00B66846"/>
    <w:rsid w:val="00B825A5"/>
    <w:rsid w:val="00B8426D"/>
    <w:rsid w:val="00BA56A9"/>
    <w:rsid w:val="00BC07BD"/>
    <w:rsid w:val="00BE273E"/>
    <w:rsid w:val="00BF79D5"/>
    <w:rsid w:val="00C075D7"/>
    <w:rsid w:val="00C53201"/>
    <w:rsid w:val="00C66F4E"/>
    <w:rsid w:val="00C83020"/>
    <w:rsid w:val="00CA4285"/>
    <w:rsid w:val="00CA5676"/>
    <w:rsid w:val="00CA590B"/>
    <w:rsid w:val="00CB62E1"/>
    <w:rsid w:val="00CB6A69"/>
    <w:rsid w:val="00CE310D"/>
    <w:rsid w:val="00CF7560"/>
    <w:rsid w:val="00D14CDA"/>
    <w:rsid w:val="00D264AB"/>
    <w:rsid w:val="00D3791B"/>
    <w:rsid w:val="00D6466B"/>
    <w:rsid w:val="00D821BD"/>
    <w:rsid w:val="00DC1BEE"/>
    <w:rsid w:val="00DE1062"/>
    <w:rsid w:val="00DE13CB"/>
    <w:rsid w:val="00DF0AE2"/>
    <w:rsid w:val="00E02F82"/>
    <w:rsid w:val="00E138B6"/>
    <w:rsid w:val="00E20B32"/>
    <w:rsid w:val="00E21611"/>
    <w:rsid w:val="00E231A5"/>
    <w:rsid w:val="00E35594"/>
    <w:rsid w:val="00E36B05"/>
    <w:rsid w:val="00E47238"/>
    <w:rsid w:val="00E857A6"/>
    <w:rsid w:val="00E877BB"/>
    <w:rsid w:val="00E93726"/>
    <w:rsid w:val="00E93C36"/>
    <w:rsid w:val="00EB0773"/>
    <w:rsid w:val="00EB3BA4"/>
    <w:rsid w:val="00ED0FA9"/>
    <w:rsid w:val="00ED2299"/>
    <w:rsid w:val="00F06C7A"/>
    <w:rsid w:val="00F43DCF"/>
    <w:rsid w:val="00F47126"/>
    <w:rsid w:val="00F47DB0"/>
    <w:rsid w:val="00F65367"/>
    <w:rsid w:val="00F70630"/>
    <w:rsid w:val="00F71D09"/>
    <w:rsid w:val="00F87D70"/>
    <w:rsid w:val="00F95290"/>
    <w:rsid w:val="00FC5EFD"/>
    <w:rsid w:val="00FE569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85DE"/>
  <w15:docId w15:val="{097AF0BD-42ED-4501-B9EE-663E7402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BF5B5-D494-4CC0-AA02-56B88AD1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Rajpurohit</dc:creator>
  <cp:keywords/>
  <dc:description/>
  <cp:lastModifiedBy>Gaurav Bachani</cp:lastModifiedBy>
  <cp:revision>196</cp:revision>
  <dcterms:created xsi:type="dcterms:W3CDTF">2015-07-07T08:46:00Z</dcterms:created>
  <dcterms:modified xsi:type="dcterms:W3CDTF">2024-10-02T12:36:00Z</dcterms:modified>
</cp:coreProperties>
</file>